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4A9EB">
      <w:pPr>
        <w:keepNext w:val="0"/>
        <w:keepLines w:val="0"/>
        <w:widowControl/>
        <w:suppressLineNumbers w:val="0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                                                                     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S3-251961 </w:t>
      </w:r>
    </w:p>
    <w:p w14:paraId="11C88A41">
      <w:pPr>
        <w:pStyle w:val="12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Fukuoka, Japan, 19 – 23 May 2025</w:t>
      </w:r>
      <w:r>
        <w:tab/>
      </w:r>
      <w:r>
        <w:rPr>
          <w:rFonts w:ascii="Arial" w:hAnsi="Arial" w:eastAsia="Batang" w:cs="Arial"/>
          <w:b/>
          <w:lang w:eastAsia="zh-CN"/>
        </w:rPr>
        <w:t>(revision of xx-yyxxxx)</w:t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Study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inter-PLMN and intra-PLMN security in 6G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6.3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  <w:t xml:space="preserve"> New study on inter-PLMN and intra-PLMN security in 6G</w:t>
      </w:r>
    </w:p>
    <w:p w14:paraId="1845B441">
      <w:pPr>
        <w:pStyle w:val="24"/>
        <w:rPr>
          <w:highlight w:val="yellow"/>
        </w:rPr>
      </w:pPr>
    </w:p>
    <w:p w14:paraId="4520DCE2">
      <w:pPr>
        <w:pStyle w:val="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>Acronym:</w:t>
      </w:r>
      <w:r>
        <w:rPr>
          <w:rFonts w:hint="eastAsia" w:ascii="Arial" w:hAnsi="Arial" w:eastAsia="宋体" w:cs="Times New Roman"/>
          <w:color w:val="auto"/>
          <w:sz w:val="36"/>
          <w:szCs w:val="20"/>
          <w:highlight w:val="none"/>
          <w:lang w:val="en-US" w:eastAsia="zh-CN"/>
        </w:rPr>
        <w:t>FS_6G_PLMNSec</w:t>
      </w:r>
      <w:bookmarkStart w:id="1" w:name="_GoBack"/>
      <w:bookmarkEnd w:id="1"/>
      <w:r>
        <w:rPr>
          <w:rFonts w:ascii="Arial" w:hAnsi="Arial" w:eastAsia="Times New Roman" w:cs="Times New Roman"/>
          <w:color w:val="auto"/>
          <w:sz w:val="36"/>
          <w:szCs w:val="20"/>
          <w:highlight w:val="none"/>
          <w:lang w:eastAsia="ja-JP"/>
        </w:rPr>
        <w:tab/>
      </w:r>
    </w:p>
    <w:p w14:paraId="18C69795">
      <w:pPr>
        <w:pStyle w:val="24"/>
        <w:rPr>
          <w:highlight w:val="none"/>
        </w:rPr>
      </w:pPr>
      <w:r>
        <w:rPr>
          <w:highlight w:val="none"/>
        </w:rPr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>
      <w:pPr>
        <w:pStyle w:val="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highlight w:val="yellow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highlight w:val="yellow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highlight w:val="yellow"/>
          <w:lang w:eastAsia="ja-JP"/>
        </w:rPr>
        <w:tab/>
      </w:r>
    </w:p>
    <w:p w14:paraId="6340F223">
      <w:pPr>
        <w:pStyle w:val="24"/>
      </w:pPr>
      <w:r>
        <w:t xml:space="preserve">{A number to be provided by MCC at the plenary} </w:t>
      </w:r>
    </w:p>
    <w:p w14:paraId="4D9605DA">
      <w:pPr>
        <w:pStyle w:val="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20</w:t>
      </w:r>
    </w:p>
    <w:p w14:paraId="228B978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7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7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28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28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28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28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28"/>
            </w:pPr>
          </w:p>
        </w:tc>
        <w:tc>
          <w:tcPr>
            <w:tcW w:w="1037" w:type="dxa"/>
          </w:tcPr>
          <w:p w14:paraId="0602D5C7">
            <w:pPr>
              <w:pStyle w:val="28"/>
            </w:pPr>
          </w:p>
        </w:tc>
        <w:tc>
          <w:tcPr>
            <w:tcW w:w="850" w:type="dxa"/>
          </w:tcPr>
          <w:p w14:paraId="35CFDED4">
            <w:pPr>
              <w:pStyle w:val="28"/>
            </w:pPr>
          </w:p>
        </w:tc>
        <w:tc>
          <w:tcPr>
            <w:tcW w:w="851" w:type="dxa"/>
          </w:tcPr>
          <w:p w14:paraId="02A432F3">
            <w:pPr>
              <w:pStyle w:val="28"/>
            </w:pPr>
          </w:p>
        </w:tc>
        <w:tc>
          <w:tcPr>
            <w:tcW w:w="1752" w:type="dxa"/>
          </w:tcPr>
          <w:p w14:paraId="70435623">
            <w:pPr>
              <w:pStyle w:val="28"/>
            </w:pP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28"/>
            </w:pPr>
          </w:p>
        </w:tc>
        <w:tc>
          <w:tcPr>
            <w:tcW w:w="1037" w:type="dxa"/>
          </w:tcPr>
          <w:p w14:paraId="6F19776F">
            <w:pPr>
              <w:pStyle w:val="28"/>
            </w:pPr>
          </w:p>
        </w:tc>
        <w:tc>
          <w:tcPr>
            <w:tcW w:w="850" w:type="dxa"/>
          </w:tcPr>
          <w:p w14:paraId="3F07CB2B">
            <w:pPr>
              <w:pStyle w:val="28"/>
            </w:pPr>
          </w:p>
        </w:tc>
        <w:tc>
          <w:tcPr>
            <w:tcW w:w="851" w:type="dxa"/>
          </w:tcPr>
          <w:p w14:paraId="290A158D">
            <w:pPr>
              <w:pStyle w:val="28"/>
            </w:pPr>
          </w:p>
        </w:tc>
        <w:tc>
          <w:tcPr>
            <w:tcW w:w="1752" w:type="dxa"/>
          </w:tcPr>
          <w:p w14:paraId="02E98F67">
            <w:pPr>
              <w:pStyle w:val="28"/>
            </w:pPr>
          </w:p>
        </w:tc>
      </w:tr>
    </w:tbl>
    <w:p w14:paraId="0AEBFDEC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28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8BCEFEC">
            <w:pPr>
              <w:pStyle w:val="26"/>
              <w:rPr>
                <w:rFonts w:hint="default" w:eastAsia="宋体"/>
                <w:lang w:val="en-US" w:eastAsia="zh-CN"/>
              </w:rPr>
            </w:pPr>
            <w:bookmarkStart w:id="0" w:name="OLE_LINK1"/>
            <w:r>
              <w:rPr>
                <w:rFonts w:hint="eastAsia" w:eastAsia="宋体"/>
                <w:lang w:val="en-US" w:eastAsia="zh-CN"/>
              </w:rPr>
              <w:t>N/A</w:t>
            </w:r>
            <w:bookmarkEnd w:id="0"/>
          </w:p>
        </w:tc>
        <w:tc>
          <w:tcPr>
            <w:tcW w:w="1101" w:type="dxa"/>
          </w:tcPr>
          <w:p w14:paraId="334D300A">
            <w:pPr>
              <w:pStyle w:val="26"/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338BA6A">
            <w:pPr>
              <w:pStyle w:val="26"/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6010" w:type="dxa"/>
          </w:tcPr>
          <w:p w14:paraId="225432A0">
            <w:pPr>
              <w:pStyle w:val="26"/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</w:tr>
    </w:tbl>
    <w:p w14:paraId="577FBA35"/>
    <w:p w14:paraId="5A176050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7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7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2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3326" w:type="dxa"/>
          </w:tcPr>
          <w:p w14:paraId="3AC061FD">
            <w:pPr>
              <w:pStyle w:val="26"/>
            </w:pPr>
          </w:p>
        </w:tc>
        <w:tc>
          <w:tcPr>
            <w:tcW w:w="5099" w:type="dxa"/>
          </w:tcPr>
          <w:p w14:paraId="017BF4B1">
            <w:pPr>
              <w:pStyle w:val="24"/>
            </w:pPr>
            <w:r>
              <w:t xml:space="preserve">{optional free text} </w:t>
            </w:r>
          </w:p>
        </w:tc>
      </w:tr>
    </w:tbl>
    <w:p w14:paraId="01B64B3B">
      <w:pPr>
        <w:pStyle w:val="29"/>
      </w:pPr>
    </w:p>
    <w:p w14:paraId="4970DA35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0FA4A6F9">
      <w:pPr>
        <w:rPr>
          <w:rFonts w:hint="default" w:ascii="Arial" w:hAnsi="Arial" w:eastAsia="宋体" w:cs="Times New Roman"/>
          <w:color w:val="000000"/>
          <w:sz w:val="18"/>
          <w:lang w:val="en-US" w:eastAsia="zh-CN" w:bidi="ar-SA"/>
        </w:rPr>
      </w:pPr>
      <w:r>
        <w:rPr>
          <w:rFonts w:hint="eastAsia" w:ascii="Arial" w:hAnsi="Arial" w:eastAsia="宋体" w:cs="Times New Roman"/>
          <w:color w:val="000000"/>
          <w:sz w:val="18"/>
          <w:lang w:val="en-US" w:eastAsia="zh-CN" w:bidi="ar-SA"/>
        </w:rPr>
        <w:t>N/A</w:t>
      </w: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23B2737E">
      <w:pPr>
        <w:jc w:val="both"/>
      </w:pPr>
      <w:r>
        <w:rPr>
          <w:rFonts w:hint="eastAsia" w:eastAsia="宋体"/>
          <w:lang w:val="en-US" w:eastAsia="zh-CN"/>
        </w:rPr>
        <w:t xml:space="preserve">In TR 22.870, the security issues of </w:t>
      </w:r>
      <w:r>
        <w:t>operators strugg</w:t>
      </w:r>
      <w:r>
        <w:rPr>
          <w:rFonts w:hint="eastAsia" w:eastAsia="宋体"/>
          <w:lang w:val="en-US" w:eastAsia="zh-CN"/>
        </w:rPr>
        <w:t>ling</w:t>
      </w:r>
      <w:r>
        <w:t xml:space="preserve"> with the bilateral administration of security to enable interconnection and roaming with other operators</w:t>
      </w:r>
      <w:r>
        <w:rPr>
          <w:rFonts w:hint="eastAsia" w:eastAsia="宋体"/>
          <w:lang w:val="en-US" w:eastAsia="zh-CN"/>
        </w:rPr>
        <w:t xml:space="preserve"> has been studied. Similar issues also exist in intra-PLMN cases where different security domains in the core network rely on </w:t>
      </w:r>
      <w:r>
        <w:t xml:space="preserve">NDS/IP and NDS/AF to provide transport layer security protection mechanisms. </w:t>
      </w:r>
      <w:r>
        <w:rPr>
          <w:rFonts w:hint="eastAsia" w:eastAsia="宋体"/>
          <w:lang w:val="en-US" w:eastAsia="zh-CN"/>
        </w:rPr>
        <w:t>In  both inter-PLMN and intra-PLMN interconnections, d</w:t>
      </w:r>
      <w:r>
        <w:t xml:space="preserve">igital certificates are usually used as identity identifiers and IPSec protocol is used for securing the communication between the </w:t>
      </w:r>
      <w:r>
        <w:rPr>
          <w:rFonts w:hint="eastAsia" w:eastAsia="宋体"/>
          <w:lang w:val="en-US" w:eastAsia="zh-CN"/>
        </w:rPr>
        <w:t xml:space="preserve">two </w:t>
      </w:r>
      <w:r>
        <w:t xml:space="preserve">domains. This requires both CA (Certificate Authorities) institutions </w:t>
      </w:r>
      <w:r>
        <w:rPr>
          <w:rFonts w:hint="eastAsia" w:eastAsia="宋体"/>
          <w:lang w:val="en-US" w:eastAsia="zh-CN"/>
        </w:rPr>
        <w:t xml:space="preserve">of each operator/entity at the border of the security domains </w:t>
      </w:r>
      <w:r>
        <w:t xml:space="preserve">to crossly trust each other. Frequent cross-domain authentication brings about network latency and management cost, as well as threats of single point of failure. What’s more, it is difficult to establish a common root of trust for cross domain communication. </w:t>
      </w:r>
    </w:p>
    <w:p w14:paraId="5E20E33B">
      <w:pPr>
        <w:jc w:val="both"/>
      </w:pPr>
    </w:p>
    <w:p w14:paraId="6650B8FD">
      <w:pPr>
        <w:jc w:val="both"/>
        <w:rPr>
          <w:rFonts w:hint="default"/>
          <w:lang w:val="en-GB" w:eastAsia="zh-CN"/>
        </w:rPr>
      </w:pPr>
      <w:r>
        <w:t xml:space="preserve">Thus, an efficient manner of establishing trust </w:t>
      </w:r>
      <w:r>
        <w:rPr>
          <w:rFonts w:hint="eastAsia" w:eastAsia="宋体"/>
          <w:lang w:val="en-US" w:eastAsia="zh-CN"/>
        </w:rPr>
        <w:t xml:space="preserve">among inter-PLMN and intra-PLMN in 6G </w:t>
      </w:r>
      <w:r>
        <w:t>need</w:t>
      </w:r>
      <w:r>
        <w:rPr>
          <w:rFonts w:hint="eastAsia" w:eastAsia="宋体"/>
          <w:lang w:val="en-US" w:eastAsia="zh-CN"/>
        </w:rPr>
        <w:t>s to be studied</w:t>
      </w:r>
      <w:r>
        <w:t>.</w:t>
      </w:r>
      <w:r>
        <w:rPr>
          <w:rFonts w:hint="eastAsia" w:eastAsia="宋体"/>
          <w:lang w:val="en-US" w:eastAsia="zh-CN"/>
        </w:rPr>
        <w:t xml:space="preserve"> For example, t</w:t>
      </w:r>
      <w:r>
        <w:rPr>
          <w:lang w:val="en-GB"/>
        </w:rPr>
        <w:t>he traditional centralized trust infrastructure could be replaced with a decentralized trust foundation within the trust region.</w:t>
      </w:r>
      <w:r>
        <w:rPr>
          <w:rFonts w:hint="default"/>
          <w:lang w:val="en-GB"/>
        </w:rPr>
        <w:t> With</w:t>
      </w:r>
      <w:r>
        <w:rPr>
          <w:rFonts w:hint="eastAsia" w:eastAsia="宋体"/>
          <w:lang w:val="en-US" w:eastAsia="zh-CN"/>
        </w:rPr>
        <w:t xml:space="preserve"> that</w:t>
      </w:r>
      <w:r>
        <w:rPr>
          <w:rFonts w:hint="default"/>
          <w:lang w:val="en-GB"/>
        </w:rPr>
        <w:t xml:space="preserve">, the 6G </w:t>
      </w:r>
      <w:r>
        <w:rPr>
          <w:rFonts w:hint="eastAsia" w:eastAsia="宋体"/>
          <w:lang w:val="en-US" w:eastAsia="zh-CN"/>
        </w:rPr>
        <w:t xml:space="preserve">core </w:t>
      </w:r>
      <w:r>
        <w:rPr>
          <w:rFonts w:hint="default"/>
          <w:lang w:val="en-GB"/>
        </w:rPr>
        <w:t xml:space="preserve">network would fundamentally eliminate the single points of failure </w:t>
      </w:r>
      <w:r>
        <w:rPr>
          <w:rFonts w:hint="eastAsia" w:eastAsia="宋体"/>
          <w:lang w:val="en-US" w:eastAsia="zh-CN"/>
        </w:rPr>
        <w:t>and cross-domain security management burden in security establishment</w:t>
      </w:r>
      <w:r>
        <w:rPr>
          <w:rFonts w:hint="default"/>
          <w:lang w:val="en-GB" w:eastAsia="zh-CN"/>
        </w:rPr>
        <w:t>.</w:t>
      </w:r>
    </w:p>
    <w:p w14:paraId="03EDBA2E"/>
    <w:p w14:paraId="3BBA4B45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Furthermore, a</w:t>
      </w:r>
      <w:r>
        <w:t xml:space="preserve">s the number and the type of the intra-PLMN networks is increasing, security isolation of these intra-PLMN networks is crucial to avoid cross-attack risks, fine-grained security isolation based on the security needs of different businesses requirements is needed. </w:t>
      </w:r>
      <w:r>
        <w:rPr>
          <w:rFonts w:hint="eastAsia" w:eastAsia="宋体"/>
          <w:lang w:val="en-US" w:eastAsia="zh-CN"/>
        </w:rPr>
        <w:t>Thereby, the security isolation mechanisms in 6G between different security domains in inter-PLMN and intra-PLMN needs to be studied.</w:t>
      </w:r>
    </w:p>
    <w:p w14:paraId="19F64444"/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2A0558C0">
      <w:pPr>
        <w:pStyle w:val="24"/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>The objective of this study item is to:</w:t>
      </w:r>
    </w:p>
    <w:p w14:paraId="68CCA0A2">
      <w:pPr>
        <w:pStyle w:val="24"/>
        <w:numPr>
          <w:ilvl w:val="0"/>
          <w:numId w:val="1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WT1: Study the </w:t>
      </w:r>
      <w:r>
        <w:rPr>
          <w:rFonts w:hint="eastAsia" w:eastAsia="宋体"/>
          <w:i w:val="0"/>
          <w:color w:val="auto"/>
          <w:lang w:val="en-US" w:eastAsia="zh-CN"/>
        </w:rPr>
        <w:t>trust establishment mechanisms to eliminate single-point-failure and cross-domain security management burden.</w:t>
      </w:r>
    </w:p>
    <w:p w14:paraId="281C5529">
      <w:pPr>
        <w:pStyle w:val="24"/>
        <w:numPr>
          <w:ilvl w:val="1"/>
          <w:numId w:val="1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For </w:t>
      </w:r>
      <w:r>
        <w:rPr>
          <w:rFonts w:hint="eastAsia" w:eastAsia="宋体"/>
          <w:i w:val="0"/>
          <w:color w:val="auto"/>
          <w:lang w:val="en-US" w:eastAsia="zh-CN"/>
        </w:rPr>
        <w:t xml:space="preserve">inter-PLMN case, study the efficient authentication mechanisms and security protection between operators.  </w:t>
      </w:r>
    </w:p>
    <w:p w14:paraId="3122F37E">
      <w:pPr>
        <w:pStyle w:val="24"/>
        <w:numPr>
          <w:ilvl w:val="1"/>
          <w:numId w:val="1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For </w:t>
      </w:r>
      <w:r>
        <w:rPr>
          <w:rFonts w:hint="eastAsia" w:eastAsia="宋体"/>
          <w:i w:val="0"/>
          <w:color w:val="auto"/>
          <w:lang w:val="en-US" w:eastAsia="zh-CN"/>
        </w:rPr>
        <w:t>intra-PLMN case, study the authentication and security protection mechanisms among network elements in the same or different security domains.</w:t>
      </w:r>
    </w:p>
    <w:p w14:paraId="4D9C8539">
      <w:pPr>
        <w:pStyle w:val="24"/>
        <w:numPr>
          <w:ilvl w:val="0"/>
          <w:numId w:val="1"/>
        </w:numPr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 xml:space="preserve">WT2: Study </w:t>
      </w:r>
      <w:r>
        <w:rPr>
          <w:rFonts w:hint="eastAsia" w:eastAsia="宋体"/>
          <w:i w:val="0"/>
          <w:color w:val="auto"/>
          <w:lang w:val="en-US" w:eastAsia="zh-CN"/>
        </w:rPr>
        <w:t>the security isolation mechanisms between different security domains in inter-PLMN and intra-PLMN cases.</w:t>
      </w:r>
    </w:p>
    <w:p w14:paraId="55DB227A"/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014297B2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7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7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7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7"/>
            </w:pPr>
            <w:r>
              <w:t>Rapporteur</w:t>
            </w:r>
          </w:p>
        </w:tc>
      </w:tr>
      <w:tr w14:paraId="1B66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atLeast"/>
          <w:jc w:val="center"/>
        </w:trPr>
        <w:tc>
          <w:tcPr>
            <w:tcW w:w="1617" w:type="dxa"/>
          </w:tcPr>
          <w:p w14:paraId="194449B4">
            <w:pPr>
              <w:pStyle w:val="24"/>
              <w:spacing w:after="0"/>
            </w:pP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Internal</w:t>
            </w:r>
            <w:r>
              <w:t xml:space="preserve"> TR</w:t>
            </w:r>
          </w:p>
        </w:tc>
        <w:tc>
          <w:tcPr>
            <w:tcW w:w="1134" w:type="dxa"/>
          </w:tcPr>
          <w:p w14:paraId="1581EDBA">
            <w:pPr>
              <w:pStyle w:val="2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33.XXX</w:t>
            </w:r>
          </w:p>
        </w:tc>
        <w:tc>
          <w:tcPr>
            <w:tcW w:w="2409" w:type="dxa"/>
          </w:tcPr>
          <w:p w14:paraId="3489ADFF">
            <w:pPr>
              <w:pStyle w:val="24"/>
              <w:spacing w:after="0"/>
            </w:pPr>
            <w:r>
              <w:rPr>
                <w:rFonts w:hint="eastAsia"/>
                <w:lang w:val="en-US" w:eastAsia="zh-CN"/>
              </w:rPr>
              <w:t>Study on inter-PLMN and intra-PLMN security/security domains in 6G</w:t>
            </w:r>
          </w:p>
        </w:tc>
        <w:tc>
          <w:tcPr>
            <w:tcW w:w="993" w:type="dxa"/>
          </w:tcPr>
          <w:p w14:paraId="52FB1F71">
            <w:pPr>
              <w:pStyle w:val="24"/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Jun 2025</w:t>
            </w:r>
          </w:p>
          <w:p w14:paraId="060C3F75">
            <w:pPr>
              <w:pStyle w:val="24"/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highlight w:val="yellow"/>
              </w:rPr>
              <w:t>TSG#</w:t>
            </w:r>
            <w:r>
              <w:rPr>
                <w:rFonts w:hint="eastAsia" w:eastAsia="宋体"/>
                <w:highlight w:val="yellow"/>
                <w:lang w:val="en-US" w:eastAsia="zh-CN"/>
              </w:rPr>
              <w:t>116</w:t>
            </w:r>
          </w:p>
        </w:tc>
        <w:tc>
          <w:tcPr>
            <w:tcW w:w="1074" w:type="dxa"/>
          </w:tcPr>
          <w:p w14:paraId="3CC87817">
            <w:pPr>
              <w:pStyle w:val="24"/>
              <w:spacing w:after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Sep 2026</w:t>
            </w:r>
          </w:p>
          <w:p w14:paraId="0A9D8E0B">
            <w:pPr>
              <w:pStyle w:val="24"/>
              <w:spacing w:after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TSG#117</w:t>
            </w:r>
          </w:p>
        </w:tc>
        <w:tc>
          <w:tcPr>
            <w:tcW w:w="2186" w:type="dxa"/>
          </w:tcPr>
          <w:p w14:paraId="71B3D7AE">
            <w:pPr>
              <w:pStyle w:val="2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TBD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26"/>
            </w:pPr>
          </w:p>
        </w:tc>
        <w:tc>
          <w:tcPr>
            <w:tcW w:w="1134" w:type="dxa"/>
          </w:tcPr>
          <w:p w14:paraId="5F684E95">
            <w:pPr>
              <w:pStyle w:val="26"/>
            </w:pPr>
          </w:p>
        </w:tc>
        <w:tc>
          <w:tcPr>
            <w:tcW w:w="2409" w:type="dxa"/>
          </w:tcPr>
          <w:p w14:paraId="3F9BA4C9">
            <w:pPr>
              <w:pStyle w:val="26"/>
            </w:pPr>
          </w:p>
        </w:tc>
        <w:tc>
          <w:tcPr>
            <w:tcW w:w="993" w:type="dxa"/>
          </w:tcPr>
          <w:p w14:paraId="510D9A1F">
            <w:pPr>
              <w:pStyle w:val="26"/>
            </w:pPr>
          </w:p>
        </w:tc>
        <w:tc>
          <w:tcPr>
            <w:tcW w:w="1074" w:type="dxa"/>
          </w:tcPr>
          <w:p w14:paraId="11DE6EB5">
            <w:pPr>
              <w:pStyle w:val="26"/>
            </w:pPr>
          </w:p>
        </w:tc>
        <w:tc>
          <w:tcPr>
            <w:tcW w:w="2186" w:type="dxa"/>
          </w:tcPr>
          <w:p w14:paraId="1D49C842">
            <w:pPr>
              <w:pStyle w:val="26"/>
            </w:pPr>
          </w:p>
        </w:tc>
      </w:tr>
    </w:tbl>
    <w:p w14:paraId="7EC5BA9E">
      <w:pPr>
        <w:pStyle w:val="29"/>
      </w:pPr>
    </w:p>
    <w:p w14:paraId="3E5E0EB7"/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27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27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27"/>
            </w:pPr>
            <w:r>
              <w:t>Remarks</w:t>
            </w:r>
          </w:p>
        </w:tc>
      </w:tr>
      <w:tr w14:paraId="4A4FE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15498">
            <w:pPr>
              <w:pStyle w:val="24"/>
              <w:spacing w:after="0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C4506">
            <w:pPr>
              <w:pStyle w:val="24"/>
              <w:spacing w:after="0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0CA0D">
            <w:pPr>
              <w:pStyle w:val="24"/>
              <w:spacing w:after="0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42A83">
            <w:pPr>
              <w:pStyle w:val="24"/>
              <w:spacing w:after="0"/>
            </w:pPr>
          </w:p>
        </w:tc>
      </w:tr>
      <w:tr w14:paraId="73BCD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15D6">
            <w:pPr>
              <w:pStyle w:val="26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B976">
            <w:pPr>
              <w:pStyle w:val="26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47C">
            <w:pPr>
              <w:pStyle w:val="26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731D">
            <w:pPr>
              <w:pStyle w:val="26"/>
            </w:pPr>
          </w:p>
        </w:tc>
      </w:tr>
    </w:tbl>
    <w:p w14:paraId="2FE095C7"/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TBD</w:t>
      </w:r>
    </w:p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B94DB22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</w:t>
      </w:r>
    </w:p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98971FA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None.</w:t>
      </w:r>
    </w:p>
    <w:p w14:paraId="28E6858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7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2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26"/>
            </w:pP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26"/>
            </w:pP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26"/>
            </w:pP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26"/>
            </w:pP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>
            <w:pPr>
              <w:pStyle w:val="26"/>
            </w:pPr>
          </w:p>
        </w:tc>
      </w:tr>
    </w:tbl>
    <w:p w14:paraId="30E19F71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957705"/>
    <w:multiLevelType w:val="multilevel"/>
    <w:tmpl w:val="1795770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275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363BF7"/>
    <w:rsid w:val="11B850F8"/>
    <w:rsid w:val="2C884C9E"/>
    <w:rsid w:val="32987850"/>
    <w:rsid w:val="334F4B20"/>
    <w:rsid w:val="3F614080"/>
    <w:rsid w:val="50513187"/>
    <w:rsid w:val="53B6515A"/>
    <w:rsid w:val="57C944BA"/>
    <w:rsid w:val="6732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keepNext/>
      <w:ind w:right="284"/>
      <w:outlineLvl w:val="1"/>
    </w:pPr>
    <w:rPr>
      <w:rFonts w:ascii="Arial" w:hAnsi="Arial"/>
      <w:sz w:val="24"/>
    </w:rPr>
  </w:style>
  <w:style w:type="paragraph" w:styleId="4">
    <w:name w:val="heading 3"/>
    <w:basedOn w:val="3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0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header"/>
    <w:basedOn w:val="1"/>
    <w:link w:val="32"/>
    <w:qFormat/>
    <w:uiPriority w:val="0"/>
    <w:pPr>
      <w:tabs>
        <w:tab w:val="center" w:pos="4153"/>
        <w:tab w:val="right" w:pos="8306"/>
      </w:tabs>
    </w:pPr>
  </w:style>
  <w:style w:type="paragraph" w:styleId="13">
    <w:name w:val="toc 9"/>
    <w:basedOn w:val="10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4">
    <w:name w:val="index 1"/>
    <w:basedOn w:val="1"/>
    <w:semiHidden/>
    <w:qFormat/>
    <w:uiPriority w:val="0"/>
    <w:pPr>
      <w:keepLines/>
    </w:pPr>
  </w:style>
  <w:style w:type="character" w:styleId="17">
    <w:name w:val="page number"/>
    <w:basedOn w:val="16"/>
    <w:qFormat/>
    <w:uiPriority w:val="0"/>
  </w:style>
  <w:style w:type="paragraph" w:customStyle="1" w:styleId="18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Heading 8 Char"/>
    <w:basedOn w:val="16"/>
    <w:link w:val="8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Header Char"/>
    <w:link w:val="12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1134</Words>
  <Characters>6394</Characters>
  <Lines>53</Lines>
  <Paragraphs>15</Paragraphs>
  <TotalTime>127</TotalTime>
  <ScaleCrop>false</ScaleCrop>
  <LinksUpToDate>false</LinksUpToDate>
  <CharactersWithSpaces>7513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cmcc</cp:lastModifiedBy>
  <cp:lastPrinted>2001-04-23T09:30:00Z</cp:lastPrinted>
  <dcterms:modified xsi:type="dcterms:W3CDTF">2025-05-12T08:32:20Z</dcterms:modified>
  <dc:title>Source: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0457C009AE4A4291BC97E0385CF96F04_13</vt:lpwstr>
  </property>
</Properties>
</file>